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D0" w:rsidRDefault="00430DD0" w:rsidP="00430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D0">
        <w:rPr>
          <w:rFonts w:ascii="Times New Roman" w:hAnsi="Times New Roman" w:cs="Times New Roman"/>
          <w:b/>
          <w:sz w:val="28"/>
          <w:szCs w:val="28"/>
        </w:rPr>
        <w:t>Статьи, опубликованные сотрудниками кафедры</w:t>
      </w:r>
      <w:r w:rsidR="00983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6E4">
        <w:rPr>
          <w:rFonts w:ascii="Times New Roman" w:hAnsi="Times New Roman" w:cs="Times New Roman"/>
          <w:b/>
          <w:sz w:val="28"/>
          <w:szCs w:val="28"/>
        </w:rPr>
        <w:t>МиМПМ</w:t>
      </w:r>
      <w:proofErr w:type="spellEnd"/>
    </w:p>
    <w:p w:rsidR="0079241A" w:rsidRDefault="00430DD0" w:rsidP="00430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D0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430DD0" w:rsidRDefault="00430DD0" w:rsidP="00430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E6" w:rsidRDefault="00E71BE6" w:rsidP="00E7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доцента, к.п.н., зав. 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афедрой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Шипилкиной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E71BE6" w:rsidRPr="00971506" w:rsidRDefault="00E71BE6" w:rsidP="00E71BE6">
      <w:pPr>
        <w:pStyle w:val="a3"/>
        <w:numPr>
          <w:ilvl w:val="0"/>
          <w:numId w:val="9"/>
        </w:numPr>
        <w:shd w:val="clear" w:color="auto" w:fill="FFFFFF"/>
        <w:spacing w:after="6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Шипилкина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А. Реализация комплекса педагогических технологий на занятиях по музыкально-инструментальной подготовке как один из аспектов формирования исполнительской компетентности студентов педагогического вуза / А.Ю.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Маряч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Шипилкина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Текст: электронный //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Pan-Art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2024. – Т. 4. - № 1. – С. 54 – 64. DOI: 10.30853/pa20240009 – (1,16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п. л.) – авторство не разделено. URL: </w:t>
      </w:r>
      <w:hyperlink r:id="rId8" w:history="1">
        <w:r w:rsidR="005C09F1" w:rsidRPr="004265C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https://pan-art-journal.ru/article/pa20240009/fulltext</w:t>
        </w:r>
      </w:hyperlink>
    </w:p>
    <w:p w:rsidR="00971506" w:rsidRPr="00AB2846" w:rsidRDefault="00AB2846" w:rsidP="00971506">
      <w:pPr>
        <w:pStyle w:val="a3"/>
        <w:numPr>
          <w:ilvl w:val="0"/>
          <w:numId w:val="9"/>
        </w:numPr>
        <w:shd w:val="clear" w:color="auto" w:fill="FFFFFF"/>
        <w:spacing w:after="6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46">
        <w:rPr>
          <w:rFonts w:ascii="Times New Roman" w:hAnsi="Times New Roman" w:cs="Times New Roman"/>
          <w:sz w:val="28"/>
        </w:rPr>
        <w:t xml:space="preserve">Освоение творческого наследия русских композиторов в процессе профессиональной подготовки педагогов-музыкантов из Китайской Народной </w:t>
      </w:r>
      <w:r w:rsidRPr="00AB2846">
        <w:rPr>
          <w:rFonts w:ascii="Times New Roman" w:hAnsi="Times New Roman" w:cs="Times New Roman"/>
          <w:spacing w:val="-2"/>
          <w:sz w:val="28"/>
        </w:rPr>
        <w:t>Республики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научно-практическая конференция «60-е </w:t>
      </w:r>
      <w:proofErr w:type="spellStart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Евсевьевские</w:t>
      </w:r>
      <w:proofErr w:type="spellEnd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чтения», посвященная 160-летию Макара </w:t>
      </w:r>
      <w:proofErr w:type="spellStart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Евсевьевича</w:t>
      </w:r>
      <w:proofErr w:type="spellEnd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Евсевьева</w:t>
      </w:r>
      <w:proofErr w:type="spellEnd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Мордовский государственный педагогический университет</w:t>
      </w:r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имени М.Е. </w:t>
      </w:r>
      <w:proofErr w:type="spellStart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Евсевьева</w:t>
      </w:r>
      <w:proofErr w:type="spellEnd"/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1506" w:rsidRPr="00AB284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19-20 </w:t>
      </w:r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971506" w:rsidRPr="00AB284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2024 </w:t>
      </w:r>
      <w:r w:rsidR="00971506" w:rsidRPr="00AB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971506" w:rsidRPr="005C09F1" w:rsidRDefault="003D1831" w:rsidP="00E71BE6">
      <w:pPr>
        <w:pStyle w:val="a3"/>
        <w:numPr>
          <w:ilvl w:val="0"/>
          <w:numId w:val="9"/>
        </w:numPr>
        <w:shd w:val="clear" w:color="auto" w:fill="FFFFFF"/>
        <w:spacing w:after="6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Еникеева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И.К,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Шипилкина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Формирование мотивации к обучению игре на фортепиано в условиях детской музыкальной школы / Культура, искусство, образование: проблемы теории, истории, практики : сб.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ст. по материалам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участием (г. Пенза, 30 ноября 2023 г.) / отв. ред.: канд.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наук, доц. Т. А. </w:t>
      </w:r>
      <w:proofErr w:type="spellStart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Шипилкина</w:t>
      </w:r>
      <w:proofErr w:type="spellEnd"/>
      <w:r w:rsidRPr="003D1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канд. ист. наук, доц. Г. Н. Рябова. – Пенза: Изд-во ПГУ, 2023. – 300 с., С. 216-222.</w:t>
      </w:r>
    </w:p>
    <w:p w:rsidR="005C09F1" w:rsidRPr="005C09F1" w:rsidRDefault="007F5383" w:rsidP="007F5383">
      <w:pPr>
        <w:pStyle w:val="a3"/>
        <w:numPr>
          <w:ilvl w:val="0"/>
          <w:numId w:val="9"/>
        </w:numPr>
        <w:shd w:val="clear" w:color="auto" w:fill="FFFFFF"/>
        <w:spacing w:after="6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83">
        <w:rPr>
          <w:rFonts w:ascii="Times New Roman" w:hAnsi="Times New Roman" w:cs="Times New Roman"/>
          <w:caps/>
          <w:sz w:val="28"/>
          <w:szCs w:val="28"/>
        </w:rPr>
        <w:t>ПЕДАГОГИЧЕСКИЕ</w:t>
      </w:r>
      <w:r w:rsidRPr="007F5383">
        <w:rPr>
          <w:rFonts w:ascii="Times New Roman" w:hAnsi="Times New Roman" w:cs="Times New Roman"/>
          <w:caps/>
          <w:spacing w:val="-9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smallCaps/>
          <w:sz w:val="28"/>
          <w:szCs w:val="28"/>
        </w:rPr>
        <w:t>УСЛОВИЯ</w:t>
      </w:r>
      <w:r w:rsidRPr="007F5383">
        <w:rPr>
          <w:rFonts w:ascii="Times New Roman" w:hAnsi="Times New Roman" w:cs="Times New Roman"/>
          <w:caps/>
          <w:spacing w:val="-9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АДАПТАЦИИ</w:t>
      </w:r>
      <w:r w:rsidRPr="007F5383">
        <w:rPr>
          <w:rFonts w:ascii="Times New Roman" w:hAnsi="Times New Roman" w:cs="Times New Roman"/>
          <w:caps/>
          <w:spacing w:val="-9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СТУДЕНТОВ ИЗ</w:t>
      </w:r>
      <w:r w:rsidRPr="007F5383">
        <w:rPr>
          <w:rFonts w:ascii="Times New Roman" w:hAnsi="Times New Roman" w:cs="Times New Roman"/>
          <w:caps/>
          <w:spacing w:val="-3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КИТАЙСКОЙ</w:t>
      </w:r>
      <w:r w:rsidRPr="007F5383">
        <w:rPr>
          <w:rFonts w:ascii="Times New Roman" w:hAnsi="Times New Roman" w:cs="Times New Roman"/>
          <w:caps/>
          <w:spacing w:val="-2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НАРОДНОЙ</w:t>
      </w:r>
      <w:r w:rsidRPr="007F5383">
        <w:rPr>
          <w:rFonts w:ascii="Times New Roman" w:hAnsi="Times New Roman" w:cs="Times New Roman"/>
          <w:caps/>
          <w:spacing w:val="-5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sz w:val="28"/>
          <w:szCs w:val="28"/>
        </w:rPr>
        <w:t>РЕСПУБЛИКИ</w:t>
      </w:r>
      <w:r w:rsidRPr="007F5383">
        <w:rPr>
          <w:rFonts w:ascii="Times New Roman" w:hAnsi="Times New Roman" w:cs="Times New Roman"/>
          <w:caps/>
          <w:spacing w:val="-3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К</w:t>
      </w:r>
      <w:r w:rsidRPr="007F5383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ОБУЧЕНИЮ</w:t>
      </w:r>
      <w:r w:rsidRPr="007F5383">
        <w:rPr>
          <w:rFonts w:ascii="Times New Roman" w:hAnsi="Times New Roman" w:cs="Times New Roman"/>
          <w:caps/>
          <w:spacing w:val="-3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В</w:t>
      </w:r>
      <w:r w:rsidRPr="007F5383">
        <w:rPr>
          <w:rFonts w:ascii="Times New Roman" w:hAnsi="Times New Roman" w:cs="Times New Roman"/>
          <w:caps/>
          <w:spacing w:val="-3"/>
          <w:sz w:val="28"/>
          <w:szCs w:val="28"/>
        </w:rPr>
        <w:t xml:space="preserve"> </w:t>
      </w:r>
      <w:r w:rsidRPr="007F5383">
        <w:rPr>
          <w:rFonts w:ascii="Times New Roman" w:hAnsi="Times New Roman" w:cs="Times New Roman"/>
          <w:caps/>
          <w:sz w:val="28"/>
          <w:szCs w:val="28"/>
        </w:rPr>
        <w:t>ВУЗЕ</w:t>
      </w:r>
      <w:r w:rsidR="005C09F1" w:rsidRPr="007F538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.</w:t>
      </w:r>
      <w:r w:rsidR="005C09F1" w:rsidRPr="007F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институт имени В. Г. Белинского: традиции и инновации : материалы IХ </w:t>
      </w:r>
      <w:proofErr w:type="spellStart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proofErr w:type="spellEnd"/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84-летию Педагогического института им. В. Г. Белинского Пензенского государственного университета (г. Пенза, 14 декабря 2023 г.) / под общ. ред. канд. физ.-мат. наук, доц. О. П. Суриной. –</w:t>
      </w:r>
      <w:r w:rsid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Пенза: Изд-во ПГУ, 2023. – 298 с.,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269</w:t>
      </w:r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="005C09F1" w:rsidRPr="005C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BE6" w:rsidRDefault="00E71BE6" w:rsidP="00E71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искусствоведения</w:t>
      </w:r>
      <w:proofErr w:type="gramEnd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ст. преподавателя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Матвеевой И.А.</w:t>
      </w: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30DD0" w:rsidRPr="00430DD0" w:rsidRDefault="00430DD0" w:rsidP="00430DD0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ПЕСЕННАЯ ТРАДИЦИЯ ЗЕМЕТЧИНСКИХ ЦУРАНОВ: К ВОПРОСУ О ВЫЯВЛЕНИИ СУБЭТНИЧЕСКИХ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сборнике: Культура, искусство, образование: проблемы теории, истории, практики. Сборник научных статей по материалам Всероссийской научно-практической конференции с международным участием. Пенза, 2023. С. 23-28.</w:t>
      </w:r>
    </w:p>
    <w:p w:rsidR="00430DD0" w:rsidRPr="00430DD0" w:rsidRDefault="00430DD0" w:rsidP="00430DD0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ГАРМОНЬ-ХРОМКА В КОНТЕКСТЕ ПЕНЗЕНСКОЙ ФОЛЬКЛОРНОЙ ТРАДИЦИИ ИНСТРУМЕНТАЛЬНОГО ИСПОЛНИТЕЛЬСТВА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Саратовской консерватории. Вопросы искусствознания. 2023. № 4 (22). С. 81-88.</w:t>
      </w:r>
    </w:p>
    <w:p w:rsidR="00430DD0" w:rsidRDefault="00430DD0" w:rsidP="00430DD0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3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И. А. Знахарство и колдовство в Пензенской области: современные состояние традиции. Человек. 2024. Т. 35.</w:t>
      </w:r>
    </w:p>
    <w:p w:rsidR="00530B6C" w:rsidRDefault="00530B6C" w:rsidP="00430DD0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Публикации </w:t>
      </w:r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доцента, к. ист. н., доцента </w:t>
      </w: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Рябовой Г.Н. </w:t>
      </w: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Статья: </w:t>
      </w: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Музыкальная культура Пензенского края: традиции и современность / Культура, искусство, образование: проблемы теории, истории, практики: сб.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 по материалам Всероссийской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участием (г. Пенза, 30 ноября 2023) / отв. ред. канд.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доцент Т.А.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Шипилкина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канд. ист.наук, доцент Г.Н. Рябова – Пенза: Изд-во ПГУ, 2023. – С. 28 – 35 https://elibrary.ru/item.asp?id=64007561&amp;pff=1</w:t>
      </w: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в коллективной монографии</w:t>
      </w:r>
      <w:r w:rsidR="0099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Первые очаги культуры (в соавторстве с А.А. Гущиным и О.В. 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Колпаковой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/ Глава IV. XVIII век: становление / История г. Пензы: в 2 т / под общ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О.В. Мельниченко. Пенза: Институт регионального развития Пензенской области, 2024. Т 1. С. 184 – 195</w:t>
      </w:r>
    </w:p>
    <w:p w:rsidR="00430DD0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Центр провинциальной культуры (в соавторстве с И.С. Шишкиным). / Глава V. XIX – начало XX века: развитие / История г. Пензы: в 2 т / под общ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О.В. Мельниченко. Пенза: Институт регионального развития Пензенской области, 2024. Т 1. С. 326 – 374.</w:t>
      </w:r>
    </w:p>
    <w:p w:rsid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B6C" w:rsidRPr="00530B6C" w:rsidRDefault="00530B6C" w:rsidP="00530B6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ст. преподавателя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Киселевой С.В.</w:t>
      </w: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0B6C" w:rsidRPr="00530B6C" w:rsidRDefault="00530B6C" w:rsidP="0059678A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1.Вопросы инструментальной подготовки будущего педагога-музыканта / Культура, искусство, образование: проблемы теории, истории, практики : сб.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ст. по материалам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участием (г. Пенза,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ноября 2023 г.) / отв. ред.: канд.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доц.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А.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Шипилкина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канд. ист. наук, доц. Г. Н. Рябова. –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Пенза: Изд-во ПГУ, 2023. – 300 с., С. 231-239.</w:t>
      </w:r>
    </w:p>
    <w:p w:rsidR="00530B6C" w:rsidRPr="00530B6C" w:rsidRDefault="00530B6C" w:rsidP="0059678A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Инструментальная подготовка будущего педагога-музыканта в условиях цифровой революции. Статья ВАК // Современные проблемы науки и образования. – 2023. – № 6; URL: 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59678A" w:rsidRPr="00096E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https://science-education.ru/article/view?id=33226</w:t>
        </w:r>
      </w:hyperlink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22.01.2024). Статья ВАК</w:t>
      </w:r>
    </w:p>
    <w:p w:rsidR="00530B6C" w:rsidRPr="0059678A" w:rsidRDefault="00B006F4" w:rsidP="0059678A">
      <w:pPr>
        <w:shd w:val="clear" w:color="auto" w:fill="FFFFFF"/>
        <w:spacing w:after="0" w:line="273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530B6C" w:rsidRPr="0059678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ИНСТРУМЕНТАЛЬНАЯ ПОДГОТОВКА БУДУЩЕГО ПЕД..</w:t>
        </w:r>
        <w:proofErr w:type="spellStart"/>
        <w:r w:rsidR="00530B6C" w:rsidRPr="0059678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science-education.ru</w:t>
        </w:r>
        <w:proofErr w:type="spellEnd"/>
      </w:hyperlink>
    </w:p>
    <w:p w:rsidR="00530B6C" w:rsidRPr="00530B6C" w:rsidRDefault="00530B6C" w:rsidP="0059678A">
      <w:pPr>
        <w:shd w:val="clear" w:color="auto" w:fill="FFFFFF"/>
        <w:spacing w:after="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применения цифровых </w:t>
      </w:r>
      <w:proofErr w:type="gramStart"/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инструментальной подготовки будущего педагога-музыканта. Диалоги о культуре и искусстве: материалы XIII Всероссийской научн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практической конференции с международным участием (Пермь, 18-20 октября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г.) / отв. ред. Н.И. Тюленева; ред. кол.: К.А. Мальцев, Е.И. Мамаева, П.С.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Ширинкин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Пермский государственный институт культуры. – Пермь: ПГИК,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2023. – 1186 с., С.451-455.</w:t>
      </w:r>
    </w:p>
    <w:p w:rsidR="00530B6C" w:rsidRPr="00530B6C" w:rsidRDefault="00530B6C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компетентность будущего педагога-музыканта. Педагогический институт имени В. Г. Белинского: традиции и инновации : материалы IХ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84-летию Педагогического института им. В. Г. Белинского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Пензенского государственного университета (г. Пенза, 14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декабря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г.) / под общ. ред. канд. физ.-мат. наук, доц. О. П. С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уриной. –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Пенза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Изд-во ПГУ, 2023. – 298 с., С. 99-103.</w:t>
      </w:r>
    </w:p>
    <w:p w:rsidR="00530B6C" w:rsidRDefault="00530B6C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технологии в практике современного музыкального образования. /Международная научно-практическая конференция «60-е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Евсевьевские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чтения», посвященн</w:t>
      </w:r>
      <w:r w:rsidR="0097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160-летию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Макара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Евсевьевича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Евсевьева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Мордовский государственный педагогический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имени</w:t>
      </w:r>
      <w:r w:rsid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М.Е. </w:t>
      </w:r>
      <w:proofErr w:type="spellStart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Евсевьева</w:t>
      </w:r>
      <w:proofErr w:type="spellEnd"/>
      <w:r w:rsidRPr="0053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00B" w:rsidRPr="0097150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19-20 </w:t>
      </w:r>
      <w:r w:rsidR="00F0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F0000B" w:rsidRPr="0097150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2024 </w:t>
      </w:r>
      <w:r w:rsidR="00F0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78A" w:rsidRP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proofErr w:type="spellStart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к.п</w:t>
      </w:r>
      <w:proofErr w:type="gramStart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</w:t>
      </w:r>
      <w:proofErr w:type="spellEnd"/>
      <w:proofErr w:type="gramEnd"/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ст. преподавателя </w:t>
      </w:r>
      <w:proofErr w:type="spellStart"/>
      <w:r w:rsidRPr="0059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А.Ю.</w:t>
      </w:r>
    </w:p>
    <w:p w:rsidR="000322F2" w:rsidRPr="000322F2" w:rsidRDefault="000322F2" w:rsidP="000322F2">
      <w:pPr>
        <w:pStyle w:val="a3"/>
        <w:numPr>
          <w:ilvl w:val="0"/>
          <w:numId w:val="9"/>
        </w:numPr>
        <w:shd w:val="clear" w:color="auto" w:fill="FFFFFF"/>
        <w:spacing w:after="6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Маряч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А.Ю. Реализация комплекса педагогических технологий на занятиях по музыкально-инструментальной подготовке как один из аспектов формирования исполнительской компетентности студентов педагогического вуза / А.Ю.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Маряч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Шипилкина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Текст: электронный //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Pan-Art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2024. – Т. 4. - № 1. – С. 54 – 64. DOI: 10.30853/pa20240009 – (1,16 </w:t>
      </w:r>
      <w:proofErr w:type="spellStart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</w:t>
      </w:r>
      <w:proofErr w:type="spellEnd"/>
      <w:r w:rsidRPr="0003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п. л.) – авторство не разделено. URL: </w:t>
      </w:r>
      <w:hyperlink r:id="rId11" w:tgtFrame="_blank" w:history="1">
        <w:r w:rsidRPr="000322F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https://pan-art-journal.ru/article/pa20240009/fulltext</w:t>
        </w:r>
      </w:hyperlink>
    </w:p>
    <w:p w:rsidR="0059678A" w:rsidRP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Энтелехия искусства / А. Ю.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Человек в современном мире: искусственный и естественный интеллект: соперничество или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соработничество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?: Сборник научных трудов. –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Рагуза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Издательство «Энциклопедист-Максимум», 2024. – С. 352-419. РИНЦ</w:t>
      </w:r>
    </w:p>
    <w:p w:rsidR="0059678A" w:rsidRP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Гохуа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Чэньфэн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«Развитие художественного вкуса подростков в условиях внеурочной музыкальной деятельности» / Кан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Гохуа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Чэньфэн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А.Ю.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Актуальные проблемы педагогики и психологии: вызовы ХХI века: сборник научных трудов / Под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Квитковской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Г.Г.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Еркибаевой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Илларионовой, Я.И.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Радзицкой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8. М.: Перспектива, 2024. – С. 71 – 75. РИНЦ</w:t>
      </w:r>
    </w:p>
    <w:p w:rsidR="0059678A" w:rsidRP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Юйтин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Цзялин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Реализация исполнительских и педагогических принципов Ф. Шопена в условиях дополнительного образования детей / Да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Юйтин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Цзялин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Актуальные проблемы педагогики и психологии: вызовы ХХI века: сборник научных трудов / Под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Квитковской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Г.Г.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Еркибаевой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Илларионовой, Я.И.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Радзицкой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8. М.: Перспектива, 2024. – С. 226 – 231. РИНЦ</w:t>
      </w:r>
    </w:p>
    <w:p w:rsidR="0059678A" w:rsidRP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Яньлин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Педагогический потенциал взаимодействия семьи и школы в процессе музыкального воспитания подростков /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Яньлин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А.Ю.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Актуальные проблемы педагогики и психологии: вызовы ХХI века: сборник научных трудов / Под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Квитковской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Г.Г.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Еркибаевой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Илларионовой, Я.И.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Радзицкой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8. М.: Перспектива, 2024. – С. 218 – 222. РИНЦ</w:t>
      </w:r>
    </w:p>
    <w:p w:rsidR="0059678A" w:rsidRDefault="0059678A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Юрьевна «Формирование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метакогнитивных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у детей с ментальными нарушениями на музыкальных занятиях в центрах детского коррекционного развития» / А.Ю.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Маряч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Актуальные проблемы педагогики и психологии: вызовы ХХI века: сборник научных трудов / Под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proofErr w:type="gram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А.А.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Квитковской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Г.Г.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Еркибаевой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Илларионовой, Я.И.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Радзицкой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9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8. М.: Перспектива, 2024. – С. 367 – 373. РИНЦ</w:t>
      </w:r>
      <w:r w:rsidR="00D8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C92" w:rsidRDefault="00FB6C92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548" w:rsidRDefault="00D82548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ассистента </w:t>
      </w:r>
      <w:proofErr w:type="spellStart"/>
      <w:r w:rsidR="00FB6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Гостяевой</w:t>
      </w:r>
      <w:proofErr w:type="spellEnd"/>
      <w:r w:rsidR="00FB6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О.А.</w:t>
      </w:r>
    </w:p>
    <w:p w:rsidR="00D82548" w:rsidRPr="00D82548" w:rsidRDefault="00D82548" w:rsidP="00FB6C92">
      <w:pPr>
        <w:pStyle w:val="a3"/>
        <w:numPr>
          <w:ilvl w:val="0"/>
          <w:numId w:val="7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48">
        <w:rPr>
          <w:rFonts w:ascii="Times New Roman" w:hAnsi="Times New Roman" w:cs="Times New Roman"/>
          <w:sz w:val="28"/>
          <w:szCs w:val="28"/>
          <w:u w:val="single"/>
        </w:rPr>
        <w:t>ВАК:</w:t>
      </w:r>
      <w:r w:rsidRPr="00D82548">
        <w:rPr>
          <w:rFonts w:ascii="Times New Roman" w:hAnsi="Times New Roman" w:cs="Times New Roman"/>
          <w:sz w:val="28"/>
          <w:szCs w:val="28"/>
        </w:rPr>
        <w:t xml:space="preserve"> Условия повышения качества профессионально-педагогической подготовки китайских студентов музыкального профиля в российских вузах / О.А. Воскрекасенко, О.А. </w:t>
      </w:r>
      <w:proofErr w:type="spellStart"/>
      <w:r w:rsidRPr="00D82548">
        <w:rPr>
          <w:rFonts w:ascii="Times New Roman" w:hAnsi="Times New Roman" w:cs="Times New Roman"/>
          <w:sz w:val="28"/>
          <w:szCs w:val="28"/>
        </w:rPr>
        <w:t>Гостяева</w:t>
      </w:r>
      <w:proofErr w:type="spellEnd"/>
      <w:r w:rsidRPr="00D82548">
        <w:rPr>
          <w:rFonts w:ascii="Times New Roman" w:hAnsi="Times New Roman" w:cs="Times New Roman"/>
          <w:sz w:val="28"/>
          <w:szCs w:val="28"/>
        </w:rPr>
        <w:t xml:space="preserve"> // </w:t>
      </w:r>
      <w:r w:rsidRPr="00D82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Ярославский педагогический вестник. – № 2 (137). – С. 99-106; </w:t>
      </w:r>
    </w:p>
    <w:p w:rsidR="00D82548" w:rsidRPr="009836E4" w:rsidRDefault="00D82548" w:rsidP="009836E4">
      <w:pPr>
        <w:pStyle w:val="a3"/>
        <w:numPr>
          <w:ilvl w:val="0"/>
          <w:numId w:val="7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836E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РИНЦ:</w:t>
      </w:r>
      <w:r w:rsidRPr="0098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«Проблемы</w:t>
      </w:r>
      <w:r w:rsidRPr="009836E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6E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профессиональной адаптации китайских выпускников музыкального профиля российских вузов».</w:t>
      </w:r>
      <w:r w:rsidRPr="009836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36E4" w:rsidRPr="009836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ВОПРОСЫ СОЦИАЛЬНО-ГУМАНИТАРНЫХ НАУК И КУЛЬТУРНОЕ ВОСПИТАНИЕ ОБЩЕСТВА: Сборник научных статей. – Ульяновск, Зебра, 2024. – 358 с. </w:t>
      </w:r>
      <w:r w:rsidR="009836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 71-73.</w:t>
      </w:r>
    </w:p>
    <w:p w:rsidR="00D82548" w:rsidRPr="00FB6C92" w:rsidRDefault="00D82548" w:rsidP="00FB6C92">
      <w:pPr>
        <w:pStyle w:val="a3"/>
        <w:numPr>
          <w:ilvl w:val="0"/>
          <w:numId w:val="7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25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РИНЦ:</w:t>
      </w:r>
      <w:r w:rsidRPr="00D82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</w:t>
      </w:r>
      <w:r w:rsidRPr="00D8254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акторы профессиональной адаптации китайских выпускников музыкального профиля российских вузов».</w:t>
      </w:r>
      <w:r w:rsidRPr="00D82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82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научных статей </w:t>
      </w:r>
      <w:r w:rsidRPr="00D82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D8254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Исследования в области</w:t>
      </w:r>
      <w:r w:rsidRPr="00D82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г</w:t>
      </w:r>
      <w:r w:rsidRPr="00D8254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уманитарных наук: теория, методика, практика</w:t>
      </w:r>
      <w:r w:rsidRPr="00D82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 </w:t>
      </w:r>
      <w:r w:rsidRPr="00D8254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 июня 2024 г</w:t>
      </w:r>
      <w:r w:rsidRPr="00FB6C92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  <w:r w:rsidRPr="00FB6C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 </w:t>
      </w:r>
      <w:r w:rsidRPr="00FB6C9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размещением на </w:t>
      </w:r>
      <w:proofErr w:type="spellStart"/>
      <w:r w:rsidRPr="00FB6C9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elibrary</w:t>
      </w:r>
      <w:proofErr w:type="spellEnd"/>
      <w:r w:rsidRPr="00FB6C9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(индексацией в РИНЦ</w:t>
      </w:r>
      <w:r w:rsidRPr="00FB6C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B6C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B6C92" w:rsidRPr="00FB6C92">
        <w:rPr>
          <w:rStyle w:val="ab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B6C92" w:rsidRPr="00FB6C92">
        <w:rPr>
          <w:rStyle w:val="ab"/>
          <w:rFonts w:ascii="Times New Roman" w:hAnsi="Times New Roman" w:cs="Times New Roman"/>
          <w:iCs/>
          <w:sz w:val="28"/>
          <w:szCs w:val="28"/>
          <w:shd w:val="clear" w:color="auto" w:fill="FFFFFF"/>
        </w:rPr>
        <w:footnoteReference w:id="1"/>
      </w:r>
      <w:r w:rsidR="00FB6C92" w:rsidRPr="00FB6C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53499C" w:rsidRDefault="0053499C" w:rsidP="0053499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ст. преподавателя </w:t>
      </w:r>
      <w:r w:rsidRPr="00534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Максимовой Н.А.</w:t>
      </w:r>
    </w:p>
    <w:p w:rsidR="009836E4" w:rsidRDefault="009836E4" w:rsidP="009836E4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формировании адаптационной готовности у иностранных студентов вуза / Н.А. Максимова // Пензенский психологический вестник. - 2023. № 2. С. 48-60.</w:t>
      </w:r>
    </w:p>
    <w:p w:rsidR="009836E4" w:rsidRDefault="009836E4" w:rsidP="009836E4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адаптационной готовности китайских студентов в принимающем сообществе / В.В. Константинов, Н.А.  Максимова // Материалы международной научно-практической конференции «Личность в современном обществе: исследование, образование, развитие»: Сборник научных статей. – Актуальные проблемы психологии и педагогики. -  СФ МПГУ, 2024.  - в печати.</w:t>
      </w:r>
    </w:p>
    <w:p w:rsidR="009836E4" w:rsidRDefault="009836E4" w:rsidP="009836E4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условия формирования адаптационной готовности иностранных студентов в образовательной среде вуза / В.В. Константинов, Н.А. Максимова // Категория «социального» в современной педагогике и психологии: Сборник научных статей. – Ульяновск, Зебра, 2024. - в печати.</w:t>
      </w:r>
    </w:p>
    <w:p w:rsidR="009836E4" w:rsidRDefault="009836E4" w:rsidP="009836E4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китайских студентов на различных этапах обучения в российском вузе / В.В. Константинов, Н.А. Максимова // «Национальное здоровье». 2024. № 2, - в печати.</w:t>
      </w:r>
    </w:p>
    <w:p w:rsidR="00AD098C" w:rsidRDefault="00AD098C" w:rsidP="0053499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7633" w:rsidRPr="0053499C" w:rsidRDefault="000D7633" w:rsidP="000D7633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r w:rsidR="0098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ассистента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Королевой Е.В.</w:t>
      </w:r>
    </w:p>
    <w:p w:rsidR="000D7633" w:rsidRPr="00AD098C" w:rsidRDefault="00AD098C" w:rsidP="0053499C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98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97632">
        <w:rPr>
          <w:rFonts w:ascii="Times New Roman" w:hAnsi="Times New Roman" w:cs="Times New Roman"/>
          <w:sz w:val="28"/>
          <w:szCs w:val="28"/>
          <w:u w:val="single"/>
        </w:rPr>
        <w:t>ИНЦ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D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D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мастерская как технология </w:t>
      </w:r>
      <w:proofErr w:type="spellStart"/>
      <w:r w:rsidRPr="00AD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внеучебного</w:t>
      </w:r>
      <w:proofErr w:type="spellEnd"/>
      <w:r w:rsidRPr="00AD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</w:t>
      </w:r>
      <w:r w:rsidR="0099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D098C">
        <w:rPr>
          <w:rFonts w:ascii="Times New Roman" w:hAnsi="Times New Roman" w:cs="Times New Roman"/>
          <w:sz w:val="28"/>
          <w:szCs w:val="28"/>
        </w:rPr>
        <w:t>Сборник научных трудов «Международной межвузовской Научно-</w:t>
      </w:r>
      <w:r w:rsidRPr="00AD098C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 «Современные наука и практика: закономерности, прорывной характер, возможности и перспективы»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AD098C">
        <w:rPr>
          <w:rFonts w:ascii="Times New Roman" w:hAnsi="Times New Roman" w:cs="Times New Roman"/>
          <w:sz w:val="28"/>
          <w:szCs w:val="28"/>
        </w:rPr>
        <w:t>.</w:t>
      </w:r>
    </w:p>
    <w:p w:rsidR="00D82548" w:rsidRPr="00530B6C" w:rsidRDefault="00D82548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0B6C" w:rsidRPr="00430DD0" w:rsidRDefault="00530B6C" w:rsidP="0059678A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DD0" w:rsidRPr="00530B6C" w:rsidRDefault="00430DD0" w:rsidP="005967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30DD0" w:rsidRPr="00530B6C" w:rsidSect="0079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23" w:rsidRDefault="00FC2923" w:rsidP="00FB6C92">
      <w:pPr>
        <w:spacing w:after="0" w:line="240" w:lineRule="auto"/>
      </w:pPr>
      <w:r>
        <w:separator/>
      </w:r>
    </w:p>
  </w:endnote>
  <w:endnote w:type="continuationSeparator" w:id="0">
    <w:p w:rsidR="00FC2923" w:rsidRDefault="00FC2923" w:rsidP="00F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23" w:rsidRDefault="00FC2923" w:rsidP="00FB6C92">
      <w:pPr>
        <w:spacing w:after="0" w:line="240" w:lineRule="auto"/>
      </w:pPr>
      <w:r>
        <w:separator/>
      </w:r>
    </w:p>
  </w:footnote>
  <w:footnote w:type="continuationSeparator" w:id="0">
    <w:p w:rsidR="00FC2923" w:rsidRDefault="00FC2923" w:rsidP="00FB6C92">
      <w:pPr>
        <w:spacing w:after="0" w:line="240" w:lineRule="auto"/>
      </w:pPr>
      <w:r>
        <w:continuationSeparator/>
      </w:r>
    </w:p>
  </w:footnote>
  <w:footnote w:id="1">
    <w:p w:rsidR="00FB6C92" w:rsidRPr="00AD098C" w:rsidRDefault="00FB6C92" w:rsidP="00FB6C92">
      <w:pPr>
        <w:pStyle w:val="a9"/>
        <w:rPr>
          <w:rFonts w:ascii="Times New Roman" w:hAnsi="Times New Roman" w:cs="Times New Roman"/>
        </w:rPr>
      </w:pPr>
      <w:r w:rsidRPr="00AD098C">
        <w:rPr>
          <w:rStyle w:val="ab"/>
          <w:rFonts w:ascii="Times New Roman" w:hAnsi="Times New Roman" w:cs="Times New Roman"/>
        </w:rPr>
        <w:footnoteRef/>
      </w:r>
      <w:r w:rsidRPr="00AD098C">
        <w:rPr>
          <w:rFonts w:ascii="Times New Roman" w:hAnsi="Times New Roman" w:cs="Times New Roman"/>
        </w:rPr>
        <w:t xml:space="preserve"> </w:t>
      </w:r>
      <w:r w:rsidR="00B069AD">
        <w:rPr>
          <w:rFonts w:ascii="Times New Roman" w:hAnsi="Times New Roman" w:cs="Times New Roman"/>
        </w:rPr>
        <w:t>Публикация</w:t>
      </w:r>
      <w:r w:rsidRPr="00AD098C">
        <w:rPr>
          <w:rFonts w:ascii="Times New Roman" w:hAnsi="Times New Roman" w:cs="Times New Roman"/>
        </w:rPr>
        <w:t xml:space="preserve"> статьи находятся в печати</w:t>
      </w:r>
    </w:p>
  </w:footnote>
  <w:footnote w:id="2">
    <w:p w:rsidR="00AD098C" w:rsidRDefault="00AD098C">
      <w:pPr>
        <w:pStyle w:val="a9"/>
      </w:pPr>
      <w:r>
        <w:rPr>
          <w:rStyle w:val="ab"/>
        </w:rPr>
        <w:footnoteRef/>
      </w:r>
      <w:r>
        <w:t xml:space="preserve"> </w:t>
      </w:r>
      <w:r w:rsidRPr="00AD098C">
        <w:rPr>
          <w:rFonts w:ascii="Times New Roman" w:hAnsi="Times New Roman" w:cs="Times New Roman"/>
        </w:rPr>
        <w:t xml:space="preserve">Публикация статьи </w:t>
      </w:r>
      <w:r w:rsidR="005C09F1">
        <w:rPr>
          <w:rFonts w:ascii="Times New Roman" w:hAnsi="Times New Roman" w:cs="Times New Roman"/>
        </w:rPr>
        <w:t>находится в печати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680"/>
    <w:multiLevelType w:val="hybridMultilevel"/>
    <w:tmpl w:val="29C0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6DD8"/>
    <w:multiLevelType w:val="multilevel"/>
    <w:tmpl w:val="A04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256A0"/>
    <w:multiLevelType w:val="hybridMultilevel"/>
    <w:tmpl w:val="01D2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3F44"/>
    <w:multiLevelType w:val="multilevel"/>
    <w:tmpl w:val="A47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330FD"/>
    <w:multiLevelType w:val="multilevel"/>
    <w:tmpl w:val="4F3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90497"/>
    <w:multiLevelType w:val="multilevel"/>
    <w:tmpl w:val="A290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714DA"/>
    <w:multiLevelType w:val="hybridMultilevel"/>
    <w:tmpl w:val="DD50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B4C61"/>
    <w:multiLevelType w:val="hybridMultilevel"/>
    <w:tmpl w:val="ED5A5638"/>
    <w:lvl w:ilvl="0" w:tplc="3E9081E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970E3"/>
    <w:multiLevelType w:val="hybridMultilevel"/>
    <w:tmpl w:val="86F880BC"/>
    <w:lvl w:ilvl="0" w:tplc="175EE8C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870B08"/>
    <w:multiLevelType w:val="hybridMultilevel"/>
    <w:tmpl w:val="C2DC073E"/>
    <w:lvl w:ilvl="0" w:tplc="343C5C6E">
      <w:start w:val="2"/>
      <w:numFmt w:val="decimal"/>
      <w:lvlText w:val="%1"/>
      <w:lvlJc w:val="left"/>
      <w:pPr>
        <w:ind w:left="34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B6EE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44F0133E">
      <w:numFmt w:val="bullet"/>
      <w:lvlText w:val="•"/>
      <w:lvlJc w:val="left"/>
      <w:pPr>
        <w:ind w:left="2149" w:hanging="180"/>
      </w:pPr>
      <w:rPr>
        <w:rFonts w:hint="default"/>
        <w:lang w:val="ru-RU" w:eastAsia="en-US" w:bidi="ar-SA"/>
      </w:rPr>
    </w:lvl>
    <w:lvl w:ilvl="3" w:tplc="B24A33E8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4" w:tplc="C6D0B856">
      <w:numFmt w:val="bullet"/>
      <w:lvlText w:val="•"/>
      <w:lvlJc w:val="left"/>
      <w:pPr>
        <w:ind w:left="3958" w:hanging="180"/>
      </w:pPr>
      <w:rPr>
        <w:rFonts w:hint="default"/>
        <w:lang w:val="ru-RU" w:eastAsia="en-US" w:bidi="ar-SA"/>
      </w:rPr>
    </w:lvl>
    <w:lvl w:ilvl="5" w:tplc="44CA8D7E">
      <w:numFmt w:val="bullet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 w:tplc="8222C04E">
      <w:numFmt w:val="bullet"/>
      <w:lvlText w:val="•"/>
      <w:lvlJc w:val="left"/>
      <w:pPr>
        <w:ind w:left="5767" w:hanging="180"/>
      </w:pPr>
      <w:rPr>
        <w:rFonts w:hint="default"/>
        <w:lang w:val="ru-RU" w:eastAsia="en-US" w:bidi="ar-SA"/>
      </w:rPr>
    </w:lvl>
    <w:lvl w:ilvl="7" w:tplc="02F49528">
      <w:numFmt w:val="bullet"/>
      <w:lvlText w:val="•"/>
      <w:lvlJc w:val="left"/>
      <w:pPr>
        <w:ind w:left="6672" w:hanging="180"/>
      </w:pPr>
      <w:rPr>
        <w:rFonts w:hint="default"/>
        <w:lang w:val="ru-RU" w:eastAsia="en-US" w:bidi="ar-SA"/>
      </w:rPr>
    </w:lvl>
    <w:lvl w:ilvl="8" w:tplc="9BFC78F0">
      <w:numFmt w:val="bullet"/>
      <w:lvlText w:val="•"/>
      <w:lvlJc w:val="left"/>
      <w:pPr>
        <w:ind w:left="7577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DD0"/>
    <w:rsid w:val="000322F2"/>
    <w:rsid w:val="000D7633"/>
    <w:rsid w:val="00107EE4"/>
    <w:rsid w:val="002B67AD"/>
    <w:rsid w:val="00312322"/>
    <w:rsid w:val="003D1831"/>
    <w:rsid w:val="00430DD0"/>
    <w:rsid w:val="004B75F4"/>
    <w:rsid w:val="00530B6C"/>
    <w:rsid w:val="0053499C"/>
    <w:rsid w:val="0059678A"/>
    <w:rsid w:val="005C09F1"/>
    <w:rsid w:val="0079241A"/>
    <w:rsid w:val="007F5383"/>
    <w:rsid w:val="00971506"/>
    <w:rsid w:val="009836E4"/>
    <w:rsid w:val="00997632"/>
    <w:rsid w:val="00A56C52"/>
    <w:rsid w:val="00AB2846"/>
    <w:rsid w:val="00AD098C"/>
    <w:rsid w:val="00B006F4"/>
    <w:rsid w:val="00B069AD"/>
    <w:rsid w:val="00CD5112"/>
    <w:rsid w:val="00D82548"/>
    <w:rsid w:val="00E71BE6"/>
    <w:rsid w:val="00F0000B"/>
    <w:rsid w:val="00FB6C92"/>
    <w:rsid w:val="00F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B6C"/>
    <w:rPr>
      <w:color w:val="0000FF"/>
      <w:u w:val="single"/>
    </w:rPr>
  </w:style>
  <w:style w:type="character" w:customStyle="1" w:styleId="maillinktitle">
    <w:name w:val="mail_link__title"/>
    <w:basedOn w:val="a0"/>
    <w:rsid w:val="00530B6C"/>
  </w:style>
  <w:style w:type="character" w:customStyle="1" w:styleId="maillinksubtitle">
    <w:name w:val="mail_link__subtitle"/>
    <w:basedOn w:val="a0"/>
    <w:rsid w:val="00530B6C"/>
  </w:style>
  <w:style w:type="character" w:customStyle="1" w:styleId="im-mess-stack--tools">
    <w:name w:val="im-mess-stack--tools"/>
    <w:basedOn w:val="a0"/>
    <w:rsid w:val="00530B6C"/>
  </w:style>
  <w:style w:type="paragraph" w:styleId="a5">
    <w:name w:val="Balloon Text"/>
    <w:basedOn w:val="a"/>
    <w:link w:val="a6"/>
    <w:uiPriority w:val="99"/>
    <w:semiHidden/>
    <w:unhideWhenUsed/>
    <w:rsid w:val="005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82548"/>
    <w:rPr>
      <w:b/>
      <w:bCs/>
    </w:rPr>
  </w:style>
  <w:style w:type="character" w:styleId="a8">
    <w:name w:val="Emphasis"/>
    <w:basedOn w:val="a0"/>
    <w:uiPriority w:val="20"/>
    <w:qFormat/>
    <w:rsid w:val="00D82548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FB6C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B6C9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6C9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F53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F5383"/>
    <w:pPr>
      <w:widowControl w:val="0"/>
      <w:autoSpaceDE w:val="0"/>
      <w:autoSpaceDN w:val="0"/>
      <w:spacing w:before="101" w:after="0" w:line="240" w:lineRule="auto"/>
      <w:ind w:left="527" w:right="325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8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2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36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777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9492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233193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137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2124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56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7250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-art-journal.ru/article/pa20240009/fulltex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-art-journal.ru/article/pa20240009/fulltex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science-education.ru%2Farticle%2Fview%3Fid%3D33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-education.ru/article/view?id=33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283E-26D7-4DB9-925C-E8F2F3A6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2024-07-24T09:15:00Z</dcterms:created>
  <dcterms:modified xsi:type="dcterms:W3CDTF">2024-07-24T09:15:00Z</dcterms:modified>
</cp:coreProperties>
</file>